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50" w:rsidRDefault="00B5402B" w:rsidP="004C1A50">
      <w:pPr>
        <w:spacing w:before="120" w:after="120"/>
        <w:ind w:firstLine="720"/>
        <w:jc w:val="both"/>
        <w:rPr>
          <w:b/>
          <w:sz w:val="28"/>
          <w:szCs w:val="28"/>
        </w:rPr>
      </w:pPr>
      <w:r>
        <w:rPr>
          <w:b/>
          <w:sz w:val="28"/>
          <w:szCs w:val="28"/>
        </w:rPr>
        <w:t>An Giang phấn đấu đạt m</w:t>
      </w:r>
      <w:r w:rsidR="004C1A50">
        <w:rPr>
          <w:b/>
          <w:sz w:val="28"/>
          <w:szCs w:val="28"/>
        </w:rPr>
        <w:t xml:space="preserve">ục tiêu </w:t>
      </w:r>
      <w:r w:rsidR="004C1A50" w:rsidRPr="009A0FEA">
        <w:rPr>
          <w:b/>
          <w:sz w:val="28"/>
          <w:szCs w:val="28"/>
        </w:rPr>
        <w:t xml:space="preserve">phát triển khoa học, công nghệ, đổi mới sáng tạo và chuyển đổi số </w:t>
      </w:r>
      <w:r w:rsidR="00247260">
        <w:rPr>
          <w:b/>
          <w:sz w:val="28"/>
          <w:szCs w:val="28"/>
        </w:rPr>
        <w:t xml:space="preserve">đến năm 2030 và tầm nhìn đến năm </w:t>
      </w:r>
      <w:r w:rsidR="00F8534D">
        <w:rPr>
          <w:b/>
          <w:sz w:val="28"/>
          <w:szCs w:val="28"/>
        </w:rPr>
        <w:t>2045</w:t>
      </w:r>
    </w:p>
    <w:p w:rsidR="008C14B2" w:rsidRDefault="008C14B2" w:rsidP="008C14B2">
      <w:pPr>
        <w:spacing w:before="120" w:after="120"/>
        <w:ind w:firstLine="720"/>
        <w:jc w:val="both"/>
        <w:rPr>
          <w:b/>
          <w:sz w:val="28"/>
          <w:szCs w:val="28"/>
        </w:rPr>
      </w:pPr>
      <w:bookmarkStart w:id="0" w:name="_GoBack"/>
      <w:bookmarkEnd w:id="0"/>
      <w:r>
        <w:rPr>
          <w:spacing w:val="6"/>
          <w:sz w:val="26"/>
          <w:szCs w:val="26"/>
        </w:rPr>
        <w:t>An Giang</w:t>
      </w:r>
      <w:r>
        <w:rPr>
          <w:b/>
          <w:sz w:val="28"/>
          <w:szCs w:val="28"/>
        </w:rPr>
        <w:t xml:space="preserve"> </w:t>
      </w:r>
      <w:r w:rsidRPr="0002383F">
        <w:rPr>
          <w:sz w:val="28"/>
          <w:szCs w:val="28"/>
        </w:rPr>
        <w:t>triển khai thực hiện Nghị quyết số 03/NQ-CP của Chính phủ về thực hiện Nghị quyết số 57-NQ/TW của Bộ Chính trị về đột phá phát triển khoa học, công nghệ, đổi mới sáng tạo và chuyển đổi số quốc gia</w:t>
      </w:r>
      <w:r>
        <w:rPr>
          <w:sz w:val="28"/>
          <w:szCs w:val="28"/>
        </w:rPr>
        <w:t>.</w:t>
      </w:r>
    </w:p>
    <w:p w:rsidR="00B5402B" w:rsidRDefault="00B5402B" w:rsidP="004C1A50">
      <w:pPr>
        <w:spacing w:before="120" w:after="120"/>
        <w:ind w:firstLine="720"/>
        <w:jc w:val="both"/>
        <w:rPr>
          <w:sz w:val="28"/>
          <w:szCs w:val="28"/>
          <w:lang w:val="pt-BR"/>
        </w:rPr>
      </w:pPr>
      <w:r>
        <w:rPr>
          <w:b/>
          <w:sz w:val="28"/>
          <w:szCs w:val="28"/>
        </w:rPr>
        <w:t>Mục tiêu đến năm 2030</w:t>
      </w:r>
    </w:p>
    <w:p w:rsidR="004C1A50" w:rsidRPr="0002383F" w:rsidRDefault="004C1A50" w:rsidP="004C1A50">
      <w:pPr>
        <w:spacing w:before="120" w:after="120"/>
        <w:ind w:firstLine="720"/>
        <w:jc w:val="both"/>
        <w:rPr>
          <w:sz w:val="28"/>
          <w:szCs w:val="28"/>
          <w:lang w:val="pt-BR"/>
        </w:rPr>
      </w:pPr>
      <w:r w:rsidRPr="0002383F">
        <w:rPr>
          <w:sz w:val="28"/>
          <w:szCs w:val="28"/>
          <w:lang w:val="pt-BR"/>
        </w:rPr>
        <w:t>- Tiềm lực, trình độ khoa học, công nghệ và đổi mới sáng tạo t</w:t>
      </w:r>
      <w:r w:rsidRPr="0002383F">
        <w:rPr>
          <w:sz w:val="28"/>
          <w:szCs w:val="28"/>
          <w:lang w:val="pt-BR" w:eastAsia="vi-VN"/>
        </w:rPr>
        <w:t>huộc nhóm các địa phương ở mức khá</w:t>
      </w:r>
      <w:r w:rsidRPr="0002383F">
        <w:rPr>
          <w:sz w:val="28"/>
          <w:szCs w:val="28"/>
          <w:lang w:val="pt-BR"/>
        </w:rPr>
        <w:t xml:space="preserve">; trình độ, năng lực công nghệ, đổi mới sáng tạo của doanh nghiệp đạt mức cao hơn so với bình quân chung của cả nước; về năng lực cạnh tranh số và chỉ số phát triển Chính quyền điện tử, Chính quyền số thuộc </w:t>
      </w:r>
      <w:r w:rsidRPr="0002383F">
        <w:rPr>
          <w:sz w:val="28"/>
          <w:szCs w:val="28"/>
          <w:lang w:val="pt-BR" w:eastAsia="vi-VN"/>
        </w:rPr>
        <w:t>nhóm 20 tỉnh, thành phố dẫn đầu</w:t>
      </w:r>
      <w:r>
        <w:rPr>
          <w:sz w:val="28"/>
          <w:szCs w:val="28"/>
          <w:lang w:val="pt-BR" w:eastAsia="vi-VN"/>
        </w:rPr>
        <w:t>.</w:t>
      </w:r>
    </w:p>
    <w:p w:rsidR="004C1A50" w:rsidRPr="0002383F" w:rsidRDefault="004C1A50" w:rsidP="004C1A50">
      <w:pPr>
        <w:spacing w:before="120" w:after="120"/>
        <w:ind w:firstLine="720"/>
        <w:jc w:val="both"/>
        <w:rPr>
          <w:bCs/>
          <w:sz w:val="28"/>
          <w:szCs w:val="28"/>
          <w:lang w:val="pt-BR" w:eastAsia="vi-VN"/>
        </w:rPr>
      </w:pPr>
      <w:r w:rsidRPr="0002383F">
        <w:rPr>
          <w:sz w:val="28"/>
          <w:szCs w:val="28"/>
          <w:lang w:val="pt-BR"/>
        </w:rPr>
        <w:t>- Tỷ lệ đóng góp của năng suất nhân tố tổng hợp (TFP) vào tăng trưởng kinh tế tối thiểu 55%. Xếp hạng chỉ số đổi mới sáng tạo cấp địa phương (PII) nằm trong nhóm 30 cả nước. Quy mô kinh tế số đạt tối thiểu 20% GRDP của tỉnh.</w:t>
      </w:r>
    </w:p>
    <w:p w:rsidR="004C1A50" w:rsidRPr="0002383F" w:rsidRDefault="004C1A50" w:rsidP="004C1A50">
      <w:pPr>
        <w:spacing w:before="120" w:after="120"/>
        <w:ind w:firstLine="720"/>
        <w:jc w:val="both"/>
        <w:rPr>
          <w:sz w:val="28"/>
          <w:szCs w:val="28"/>
          <w:lang w:val="pt-BR" w:eastAsia="vi-VN"/>
        </w:rPr>
      </w:pPr>
      <w:r w:rsidRPr="0002383F">
        <w:rPr>
          <w:bCs/>
          <w:sz w:val="28"/>
          <w:szCs w:val="28"/>
          <w:lang w:val="pt-BR"/>
        </w:rPr>
        <w:t>- Tỷ lệ sử dụng dịch vụ công trực tuyến của người dân và doanh nghiệp đạt trên</w:t>
      </w:r>
      <w:r w:rsidRPr="0002383F">
        <w:rPr>
          <w:sz w:val="28"/>
          <w:szCs w:val="28"/>
          <w:lang w:val="pt-BR"/>
        </w:rPr>
        <w:t xml:space="preserve"> </w:t>
      </w:r>
      <w:r w:rsidRPr="0002383F">
        <w:rPr>
          <w:bCs/>
          <w:sz w:val="28"/>
          <w:szCs w:val="28"/>
          <w:lang w:val="pt-BR"/>
        </w:rPr>
        <w:t>80%; tỷ lệ giao dịch không dùng tiền mặt đạt trên</w:t>
      </w:r>
      <w:r w:rsidRPr="0002383F">
        <w:rPr>
          <w:sz w:val="28"/>
          <w:szCs w:val="28"/>
          <w:lang w:val="pt-BR"/>
        </w:rPr>
        <w:t xml:space="preserve"> </w:t>
      </w:r>
      <w:r w:rsidRPr="0002383F">
        <w:rPr>
          <w:bCs/>
          <w:sz w:val="28"/>
          <w:szCs w:val="28"/>
          <w:lang w:val="pt-BR"/>
        </w:rPr>
        <w:t>80%; tỷ lệ doanh nghiệp có hoạt động đổi mới sáng tạo đạt trên</w:t>
      </w:r>
      <w:r w:rsidRPr="0002383F">
        <w:rPr>
          <w:sz w:val="28"/>
          <w:szCs w:val="28"/>
          <w:lang w:val="pt-BR"/>
        </w:rPr>
        <w:t xml:space="preserve"> 4</w:t>
      </w:r>
      <w:r w:rsidRPr="0002383F">
        <w:rPr>
          <w:bCs/>
          <w:sz w:val="28"/>
          <w:szCs w:val="28"/>
          <w:lang w:val="pt-BR"/>
        </w:rPr>
        <w:t>0% trong tổng số doanh nghiệp.</w:t>
      </w:r>
    </w:p>
    <w:p w:rsidR="004C1A50" w:rsidRPr="0002383F" w:rsidRDefault="004C1A50" w:rsidP="004C1A50">
      <w:pPr>
        <w:spacing w:before="120" w:after="120"/>
        <w:ind w:firstLine="720"/>
        <w:jc w:val="both"/>
        <w:rPr>
          <w:bCs/>
          <w:sz w:val="28"/>
          <w:szCs w:val="28"/>
          <w:lang w:val="pt-BR"/>
        </w:rPr>
      </w:pPr>
      <w:r w:rsidRPr="0002383F">
        <w:rPr>
          <w:bCs/>
          <w:sz w:val="28"/>
          <w:szCs w:val="28"/>
          <w:lang w:val="pt-BR"/>
        </w:rPr>
        <w:t>- Khoa học, công nghệ và đổi mới sáng tạo góp phần quan trọng xây dựng, phát triển giá trị văn hóa, xã hội, con người An Giang duy trì chỉ số phát triển con người (HDI) trên 0,7.</w:t>
      </w:r>
    </w:p>
    <w:p w:rsidR="004C1A50" w:rsidRPr="0002383F" w:rsidRDefault="004C1A50" w:rsidP="004C1A50">
      <w:pPr>
        <w:spacing w:before="120" w:after="120"/>
        <w:ind w:firstLine="720"/>
        <w:jc w:val="both"/>
        <w:rPr>
          <w:bCs/>
          <w:sz w:val="28"/>
          <w:szCs w:val="28"/>
          <w:lang w:val="pt-BR"/>
        </w:rPr>
      </w:pPr>
      <w:r w:rsidRPr="0002383F">
        <w:rPr>
          <w:bCs/>
          <w:sz w:val="28"/>
          <w:szCs w:val="28"/>
          <w:lang w:val="pt-BR"/>
        </w:rPr>
        <w:t xml:space="preserve">- </w:t>
      </w:r>
      <w:r w:rsidRPr="0002383F">
        <w:rPr>
          <w:iCs/>
          <w:sz w:val="28"/>
          <w:szCs w:val="28"/>
          <w:lang w:val="pt-BR"/>
        </w:rPr>
        <w:t>Bố trí ít nhất 3% tổng chi ngân sách địa phương hằng năm cho phát triển khoa học, công nghệ, đổi mới sáng tạo và chuyển đổi số.</w:t>
      </w:r>
    </w:p>
    <w:p w:rsidR="004C1A50" w:rsidRPr="0002383F" w:rsidRDefault="004C1A50" w:rsidP="004C1A50">
      <w:pPr>
        <w:spacing w:before="120" w:after="120"/>
        <w:ind w:firstLine="720"/>
        <w:jc w:val="both"/>
        <w:rPr>
          <w:bCs/>
          <w:sz w:val="28"/>
          <w:szCs w:val="28"/>
          <w:lang w:val="pt-BR"/>
        </w:rPr>
      </w:pPr>
      <w:r w:rsidRPr="0002383F">
        <w:rPr>
          <w:sz w:val="28"/>
          <w:szCs w:val="28"/>
          <w:lang w:val="pt-BR"/>
        </w:rPr>
        <w:t xml:space="preserve">- Tổ chức khoa học, công nghệ và đổi mới sáng tạo công lập được sắp xếp lại bảo đảm hoạt động hiệu lực, hiệu quả, gắn kết chặt chẽ giữa nghiên cứu - ứng dụng - đào tạo. </w:t>
      </w:r>
      <w:r w:rsidRPr="0002383F">
        <w:rPr>
          <w:bCs/>
          <w:sz w:val="28"/>
          <w:szCs w:val="28"/>
          <w:lang w:val="pt-BR"/>
        </w:rPr>
        <w:t>Nguồn nhân lực nghiên cứu khoa học, phát triển công nghệ, đổi mới sáng tạo đạt 12 người trên một vạn dân; số lượng công bố khoa học quốc tế tăng trung bình 10%/năm; số lượng đơn đăng ký sáng chế, văn bằng bảo hộ sáng chế tăng trung bình 16 - 18%/năm, tỷ lệ khai thác thương mại đạt 8 - 10%.</w:t>
      </w:r>
    </w:p>
    <w:p w:rsidR="004C1A50" w:rsidRPr="00B248B9" w:rsidRDefault="004C1A50" w:rsidP="004C1A50">
      <w:pPr>
        <w:spacing w:before="120" w:after="120"/>
        <w:ind w:firstLine="720"/>
        <w:jc w:val="both"/>
        <w:rPr>
          <w:spacing w:val="-4"/>
          <w:sz w:val="28"/>
          <w:szCs w:val="28"/>
          <w:lang w:val="pt-BR" w:eastAsia="vi-VN"/>
        </w:rPr>
      </w:pPr>
      <w:r w:rsidRPr="00B248B9">
        <w:rPr>
          <w:spacing w:val="-4"/>
          <w:sz w:val="28"/>
          <w:szCs w:val="28"/>
          <w:lang w:val="pt-BR"/>
        </w:rPr>
        <w:t>- H</w:t>
      </w:r>
      <w:r w:rsidRPr="00B248B9">
        <w:rPr>
          <w:bCs/>
          <w:spacing w:val="-4"/>
          <w:sz w:val="28"/>
          <w:szCs w:val="28"/>
          <w:lang w:val="pt-BR"/>
        </w:rPr>
        <w:t>ạ tầng số tiên tiến, hiện đại</w:t>
      </w:r>
      <w:r w:rsidRPr="00B248B9">
        <w:rPr>
          <w:spacing w:val="-4"/>
          <w:sz w:val="28"/>
          <w:szCs w:val="28"/>
          <w:lang w:val="pt-BR"/>
        </w:rPr>
        <w:t>; từng bước triển khai ứng dụng thành công một số công nghệ chiến lược, công nghệ số như: Trí tuệ nhân tạo, Internet vạn vật (IoT), dữ liệu lớn, điện toán đám mây, chuỗi khối, thông tin di động 5G, 6G và một số công nghệ mới nổi; đạt tỷ</w:t>
      </w:r>
      <w:r w:rsidRPr="00B248B9">
        <w:rPr>
          <w:spacing w:val="-4"/>
          <w:sz w:val="28"/>
          <w:szCs w:val="28"/>
          <w:shd w:val="clear" w:color="auto" w:fill="FFFFFF"/>
          <w:lang w:val="pt-BR"/>
        </w:rPr>
        <w:t xml:space="preserve"> lệ 100% người sử dụng có khả năng truy nhập băng rộng cố định với tốc độ trên 1Gb/s. Phủ sóng 5G cho người dân trên địa bàn</w:t>
      </w:r>
      <w:r w:rsidRPr="00B248B9">
        <w:rPr>
          <w:spacing w:val="-4"/>
          <w:sz w:val="28"/>
          <w:szCs w:val="28"/>
          <w:lang w:val="pt-BR" w:eastAsia="vi-VN"/>
        </w:rPr>
        <w:t xml:space="preserve"> tỉnh.</w:t>
      </w:r>
    </w:p>
    <w:p w:rsidR="004C1A50" w:rsidRPr="0002383F" w:rsidRDefault="004C1A50" w:rsidP="004C1A50">
      <w:pPr>
        <w:spacing w:before="120" w:after="120"/>
        <w:ind w:firstLine="720"/>
        <w:jc w:val="both"/>
        <w:rPr>
          <w:sz w:val="28"/>
          <w:szCs w:val="28"/>
          <w:lang w:val="pt-BR"/>
        </w:rPr>
      </w:pPr>
      <w:r w:rsidRPr="0002383F">
        <w:rPr>
          <w:sz w:val="28"/>
          <w:szCs w:val="28"/>
          <w:lang w:val="pt-BR"/>
        </w:rPr>
        <w:t>- Hoàn thành xây dựng đô thị thông minh tại các thành phố, thị xã, đô thị có đủ điều kiện và đạt tối thiểu 01 đô thị.</w:t>
      </w:r>
    </w:p>
    <w:p w:rsidR="004C1A50" w:rsidRPr="0002383F" w:rsidRDefault="004C1A50" w:rsidP="004C1A50">
      <w:pPr>
        <w:spacing w:before="120" w:after="120"/>
        <w:ind w:firstLine="720"/>
        <w:jc w:val="both"/>
        <w:rPr>
          <w:sz w:val="28"/>
          <w:szCs w:val="28"/>
          <w:lang w:val="pt-BR"/>
        </w:rPr>
      </w:pPr>
      <w:r w:rsidRPr="0002383F">
        <w:rPr>
          <w:bCs/>
          <w:sz w:val="28"/>
          <w:szCs w:val="28"/>
          <w:lang w:val="pt-BR"/>
        </w:rPr>
        <w:t xml:space="preserve">- </w:t>
      </w:r>
      <w:r w:rsidRPr="0002383F">
        <w:rPr>
          <w:sz w:val="28"/>
          <w:szCs w:val="28"/>
          <w:lang w:val="pt-BR"/>
        </w:rPr>
        <w:t>Thực hiện quản lý nhà nước, cung ứng dịch vụ trên môi trường số, kết nối và vận hành thông suốt trên toàn bộ các cơ quan trong hệ thống chính trị trên địa bàn tỉnh. Hoàn thành xây dựng, kết nối, chia sẻ đồng bộ cơ sở dữ liệu quốc gia, cơ sở dữ liệu các ngành; khai thác và sử dụng có hiệu quả tài nguyên số, dữ liệu số. Phát triển chính quyền số, kinh tế số, xã hội số, công dân số, công nghiệp văn hóa số đạt mức trung bình cao trong các tỉnh. An Giang thuộc trong các tỉnh đảm bảo an toàn, an ninh không gian mạng, an ninh dữ liệu và bảo vệ dữ liệu cá nhân.</w:t>
      </w:r>
    </w:p>
    <w:p w:rsidR="004C1A50" w:rsidRPr="0002383F" w:rsidRDefault="004C1A50" w:rsidP="004C1A50">
      <w:pPr>
        <w:spacing w:before="120" w:after="120"/>
        <w:ind w:firstLine="720"/>
        <w:jc w:val="both"/>
        <w:rPr>
          <w:b/>
          <w:sz w:val="28"/>
          <w:szCs w:val="28"/>
          <w:lang w:val="pt-BR"/>
        </w:rPr>
      </w:pPr>
      <w:r w:rsidRPr="0002383F">
        <w:rPr>
          <w:b/>
          <w:sz w:val="28"/>
          <w:szCs w:val="28"/>
          <w:lang w:val="pt-BR"/>
        </w:rPr>
        <w:t>2. Tầm nhìn đến năm 2045</w:t>
      </w:r>
    </w:p>
    <w:p w:rsidR="004C1A50" w:rsidRDefault="004C1A50" w:rsidP="004C1A50">
      <w:pPr>
        <w:spacing w:before="120" w:after="120"/>
        <w:ind w:firstLine="720"/>
        <w:jc w:val="both"/>
        <w:rPr>
          <w:sz w:val="28"/>
          <w:szCs w:val="28"/>
          <w:lang w:val="pt-BR"/>
        </w:rPr>
      </w:pPr>
      <w:r w:rsidRPr="0002383F">
        <w:rPr>
          <w:sz w:val="28"/>
          <w:szCs w:val="28"/>
          <w:lang w:val="pt-BR"/>
        </w:rPr>
        <w:lastRenderedPageBreak/>
        <w:t>Khoa học, công nghệ, đổi mới sáng tạo và chuyển đổi số phát triển vững chắc, góp phần đưa An Giang trở thành tỉnh có thu nhập cao hơn so với bình quân chung của cả nước. Xếp hạng chỉ số đổi mới sáng tạo cấp địa phương (PII) nằm trong nhóm 20 cả nước. Có quy mô kinh tế số đạt tối thiểu 35% GRDP; thuộc nhóm 20 tỉnh, thành phố về đổi mới sáng tạo, chuyển đổi số. Tỷ lệ doanh nghiệp công nghệ số tương đương các tỉnh, thành trong vùng; tăng dần số doanh nghiệp công nghệ số. Nông nghiệp xanh, công nghiệp công nghệ cao, y tế, giáo dục tỉnh An Giang nằm trong nhóm dẫn đầu cả nước về mặt chất lượng, ứng dụng tiện ích số và thương hiệu mạnh. Đóng góp nguồn kinh phí từ xã hội vào hoạt động khoa học và công nghệ đạt mức tổi thiểu 60% trên tổng nguồn chi.</w:t>
      </w:r>
    </w:p>
    <w:p w:rsidR="004C1A50" w:rsidRPr="000D659E" w:rsidRDefault="004C1A50" w:rsidP="004C1A50">
      <w:pPr>
        <w:spacing w:before="120" w:after="120"/>
        <w:ind w:firstLine="720"/>
        <w:jc w:val="both"/>
        <w:rPr>
          <w:rFonts w:ascii="Times New Roman Bold" w:hAnsi="Times New Roman Bold"/>
          <w:b/>
          <w:sz w:val="28"/>
          <w:szCs w:val="28"/>
          <w:lang w:val="pt-BR"/>
        </w:rPr>
      </w:pPr>
      <w:r w:rsidRPr="008C14B2">
        <w:rPr>
          <w:rFonts w:ascii="Times New Roman Bold" w:hAnsi="Times New Roman Bold"/>
          <w:sz w:val="28"/>
          <w:szCs w:val="28"/>
          <w:lang w:val="pt-BR"/>
        </w:rPr>
        <w:t>Các nhiệm vụ, giải pháp</w:t>
      </w:r>
      <w:r w:rsidR="000D659E">
        <w:rPr>
          <w:rFonts w:ascii="Times New Roman Bold" w:hAnsi="Times New Roman Bold"/>
          <w:sz w:val="28"/>
          <w:szCs w:val="28"/>
          <w:lang w:val="pt-BR"/>
        </w:rPr>
        <w:t xml:space="preserve"> </w:t>
      </w:r>
      <w:r w:rsidR="000D659E" w:rsidRPr="000D659E">
        <w:rPr>
          <w:b/>
          <w:sz w:val="28"/>
          <w:szCs w:val="28"/>
          <w:lang w:val="pt-BR"/>
        </w:rPr>
        <w:t>phát triển khoa học, công nghệ đổi mới sáng tạo và chuyển đổi số</w:t>
      </w:r>
    </w:p>
    <w:p w:rsidR="008C14B2" w:rsidRDefault="008C14B2" w:rsidP="004C1A50">
      <w:pPr>
        <w:spacing w:before="120" w:after="120"/>
        <w:ind w:firstLine="720"/>
        <w:jc w:val="both"/>
        <w:rPr>
          <w:sz w:val="28"/>
          <w:szCs w:val="28"/>
          <w:lang w:val="pt-BR"/>
        </w:rPr>
      </w:pPr>
      <w:r>
        <w:rPr>
          <w:sz w:val="28"/>
          <w:szCs w:val="28"/>
          <w:lang w:val="pt-BR"/>
        </w:rPr>
        <w:t>1. Nâng cao nhận thức, đột phá về đổi mới tư duy, xác định quyết tâm chính trị mạnh mẽ, quyết liệt lãnh đạo, chỉ đạo, tạo xung lực mới, khí thế mới trong toàn xã hội</w:t>
      </w:r>
      <w:r w:rsidR="000D659E">
        <w:rPr>
          <w:sz w:val="28"/>
          <w:szCs w:val="28"/>
          <w:lang w:val="pt-BR"/>
        </w:rPr>
        <w:t>.</w:t>
      </w:r>
    </w:p>
    <w:p w:rsidR="000D659E" w:rsidRDefault="000D659E" w:rsidP="000D659E">
      <w:pPr>
        <w:spacing w:before="120" w:after="120"/>
        <w:ind w:firstLine="720"/>
        <w:jc w:val="both"/>
        <w:rPr>
          <w:sz w:val="28"/>
          <w:szCs w:val="28"/>
          <w:lang w:val="pt-BR"/>
        </w:rPr>
      </w:pPr>
      <w:r w:rsidRPr="008C14B2">
        <w:rPr>
          <w:sz w:val="28"/>
          <w:szCs w:val="28"/>
          <w:lang w:val="pt-BR"/>
        </w:rPr>
        <w:t>2. Tập trung nguồn lực hoàn thiện các chủ trương, chính sách; xóa bỏ mọi tư tưởng, quan niệm, rào cản đang cản trở sự phát triển; đưa thể c</w:t>
      </w:r>
      <w:r>
        <w:rPr>
          <w:sz w:val="28"/>
          <w:szCs w:val="28"/>
          <w:lang w:val="pt-BR"/>
        </w:rPr>
        <w:t>hế thành một lợi thế cạnh tranh.</w:t>
      </w:r>
    </w:p>
    <w:p w:rsidR="004C1A50" w:rsidRPr="008C14B2" w:rsidRDefault="004C1A50" w:rsidP="004C1A50">
      <w:pPr>
        <w:spacing w:before="120" w:after="120"/>
        <w:ind w:firstLine="720"/>
        <w:jc w:val="both"/>
        <w:rPr>
          <w:sz w:val="28"/>
          <w:szCs w:val="28"/>
          <w:lang w:val="pt-BR"/>
        </w:rPr>
      </w:pPr>
      <w:r w:rsidRPr="008C14B2">
        <w:rPr>
          <w:sz w:val="28"/>
          <w:szCs w:val="28"/>
          <w:lang w:val="pt-BR"/>
        </w:rPr>
        <w:t>3. Tăng cường đầu tư</w:t>
      </w:r>
      <w:r w:rsidRPr="008C14B2">
        <w:rPr>
          <w:sz w:val="28"/>
          <w:szCs w:val="28"/>
          <w:lang w:val="vi-VN"/>
        </w:rPr>
        <w:t xml:space="preserve"> có hiệu quả nhằm</w:t>
      </w:r>
      <w:r w:rsidR="000D659E">
        <w:rPr>
          <w:sz w:val="28"/>
          <w:szCs w:val="28"/>
          <w:lang w:val="pt-BR"/>
        </w:rPr>
        <w:t xml:space="preserve"> hoàn thiện hạ tầng.</w:t>
      </w:r>
    </w:p>
    <w:p w:rsidR="004C1A50" w:rsidRPr="008C14B2" w:rsidRDefault="004C1A50" w:rsidP="004C1A50">
      <w:pPr>
        <w:spacing w:before="120" w:after="120"/>
        <w:ind w:firstLine="720"/>
        <w:jc w:val="both"/>
        <w:rPr>
          <w:sz w:val="28"/>
          <w:szCs w:val="28"/>
          <w:lang w:val="pt-BR"/>
        </w:rPr>
      </w:pPr>
      <w:r w:rsidRPr="008C14B2">
        <w:rPr>
          <w:sz w:val="28"/>
          <w:szCs w:val="28"/>
          <w:lang w:val="pt-BR"/>
        </w:rPr>
        <w:t>4. Thu</w:t>
      </w:r>
      <w:r w:rsidRPr="008C14B2">
        <w:rPr>
          <w:sz w:val="28"/>
          <w:szCs w:val="28"/>
          <w:lang w:val="vi-VN"/>
        </w:rPr>
        <w:t xml:space="preserve"> hút và </w:t>
      </w:r>
      <w:r w:rsidRPr="008C14B2">
        <w:rPr>
          <w:sz w:val="28"/>
          <w:szCs w:val="28"/>
          <w:lang w:val="pt-BR"/>
        </w:rPr>
        <w:t>trọng dụng nhân lực chất lượng cao, đặc</w:t>
      </w:r>
      <w:r w:rsidRPr="008C14B2">
        <w:rPr>
          <w:sz w:val="28"/>
          <w:szCs w:val="28"/>
          <w:lang w:val="vi-VN"/>
        </w:rPr>
        <w:t xml:space="preserve"> biệt là các nhà khoa học đến từ các trường đại học, tổ chức</w:t>
      </w:r>
      <w:r w:rsidR="000D659E">
        <w:rPr>
          <w:sz w:val="28"/>
          <w:szCs w:val="28"/>
          <w:lang w:val="vi-VN"/>
        </w:rPr>
        <w:t xml:space="preserve"> nghiên cứu trong và ngoài nước.</w:t>
      </w:r>
    </w:p>
    <w:p w:rsidR="008C14B2" w:rsidRPr="008C14B2" w:rsidRDefault="008C14B2" w:rsidP="008C14B2">
      <w:pPr>
        <w:spacing w:before="120" w:after="120"/>
        <w:ind w:firstLine="720"/>
        <w:jc w:val="both"/>
        <w:rPr>
          <w:sz w:val="28"/>
          <w:szCs w:val="28"/>
          <w:lang w:val="vi-VN"/>
        </w:rPr>
      </w:pPr>
      <w:r w:rsidRPr="008C14B2">
        <w:rPr>
          <w:sz w:val="28"/>
          <w:szCs w:val="28"/>
          <w:lang w:val="vi-VN"/>
        </w:rP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sidR="008C14B2" w:rsidRPr="008C14B2" w:rsidRDefault="008C14B2" w:rsidP="008C14B2">
      <w:pPr>
        <w:spacing w:before="120" w:after="120"/>
        <w:ind w:firstLine="720"/>
        <w:jc w:val="both"/>
        <w:rPr>
          <w:sz w:val="28"/>
          <w:szCs w:val="28"/>
          <w:lang w:val="vi-VN"/>
        </w:rPr>
      </w:pPr>
      <w:r w:rsidRPr="008C14B2">
        <w:rPr>
          <w:sz w:val="28"/>
          <w:szCs w:val="28"/>
          <w:lang w:val="vi-VN"/>
        </w:rPr>
        <w:t xml:space="preserve">6. Đổi mới và nâng cao hiệu quả hoạt động của doanh nghiệp trên cơ sở ứng dụng khoa học, công nghệ, đổi mới sáng tạo và chuyển đổi số </w:t>
      </w:r>
    </w:p>
    <w:p w:rsidR="008C14B2" w:rsidRDefault="000D659E" w:rsidP="008C14B2">
      <w:pPr>
        <w:spacing w:before="120" w:after="120"/>
        <w:ind w:firstLine="720"/>
        <w:jc w:val="both"/>
        <w:rPr>
          <w:sz w:val="28"/>
          <w:szCs w:val="28"/>
          <w:lang w:val="vi-VN"/>
        </w:rPr>
      </w:pPr>
      <w:r>
        <w:rPr>
          <w:sz w:val="28"/>
          <w:szCs w:val="28"/>
          <w:lang w:val="vi-VN"/>
        </w:rPr>
        <w:t>7. Tăng cường hợp tác quốc tế.</w:t>
      </w:r>
    </w:p>
    <w:p w:rsidR="008C14B2" w:rsidRPr="0002383F" w:rsidRDefault="008C14B2" w:rsidP="004C1A50">
      <w:pPr>
        <w:spacing w:before="120" w:after="120"/>
        <w:ind w:firstLine="720"/>
        <w:jc w:val="both"/>
        <w:rPr>
          <w:b/>
          <w:sz w:val="28"/>
          <w:szCs w:val="28"/>
          <w:lang w:val="pt-BR"/>
        </w:rPr>
      </w:pPr>
    </w:p>
    <w:p w:rsidR="004C1A50" w:rsidRPr="0002383F" w:rsidRDefault="004C1A50" w:rsidP="004C1A50">
      <w:pPr>
        <w:spacing w:before="120" w:after="120"/>
        <w:ind w:firstLine="720"/>
        <w:jc w:val="both"/>
        <w:rPr>
          <w:b/>
          <w:sz w:val="28"/>
          <w:szCs w:val="28"/>
          <w:lang w:val="pt-BR"/>
        </w:rPr>
      </w:pPr>
    </w:p>
    <w:p w:rsidR="004C1A50" w:rsidRPr="004C1A50" w:rsidRDefault="004C1A50" w:rsidP="004C1A50">
      <w:pPr>
        <w:spacing w:before="120" w:after="120"/>
        <w:ind w:firstLine="720"/>
        <w:jc w:val="both"/>
        <w:rPr>
          <w:b/>
          <w:sz w:val="28"/>
          <w:szCs w:val="28"/>
          <w:lang w:val="pt-BR"/>
        </w:rPr>
      </w:pPr>
    </w:p>
    <w:p w:rsidR="004C1A50" w:rsidRPr="004C1A50" w:rsidRDefault="004C1A50" w:rsidP="004C1A50">
      <w:pPr>
        <w:spacing w:before="120" w:after="120"/>
        <w:jc w:val="both"/>
        <w:rPr>
          <w:rFonts w:ascii="Times New Roman Bold" w:hAnsi="Times New Roman Bold"/>
          <w:b/>
          <w:sz w:val="28"/>
          <w:szCs w:val="28"/>
          <w:lang w:val="pt-BR"/>
        </w:rPr>
      </w:pPr>
    </w:p>
    <w:p w:rsidR="004C1A50" w:rsidRPr="0002383F" w:rsidRDefault="004C1A50" w:rsidP="004C1A50">
      <w:pPr>
        <w:spacing w:before="120" w:after="120"/>
        <w:ind w:firstLine="720"/>
        <w:jc w:val="both"/>
        <w:rPr>
          <w:sz w:val="28"/>
          <w:szCs w:val="28"/>
          <w:lang w:val="pt-BR"/>
        </w:rPr>
      </w:pPr>
    </w:p>
    <w:p w:rsidR="00C12437" w:rsidRDefault="00C12437"/>
    <w:sectPr w:rsidR="00C12437" w:rsidSect="009936DD">
      <w:pgSz w:w="11906" w:h="16838"/>
      <w:pgMar w:top="720" w:right="749" w:bottom="994" w:left="1267"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4A5"/>
    <w:multiLevelType w:val="hybridMultilevel"/>
    <w:tmpl w:val="DD34BF00"/>
    <w:lvl w:ilvl="0" w:tplc="F4F2A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DE1A34"/>
    <w:multiLevelType w:val="hybridMultilevel"/>
    <w:tmpl w:val="06C65478"/>
    <w:lvl w:ilvl="0" w:tplc="94BC9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50"/>
    <w:rsid w:val="000D659E"/>
    <w:rsid w:val="00247260"/>
    <w:rsid w:val="002F1BC8"/>
    <w:rsid w:val="004C1A50"/>
    <w:rsid w:val="004E1448"/>
    <w:rsid w:val="00880B72"/>
    <w:rsid w:val="008C14B2"/>
    <w:rsid w:val="009936DD"/>
    <w:rsid w:val="00B5402B"/>
    <w:rsid w:val="00C12437"/>
    <w:rsid w:val="00F8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3CB"/>
  <w15:chartTrackingRefBased/>
  <w15:docId w15:val="{5A0B7F6C-D971-4895-B486-0C476CB8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A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TTLXUAN</dc:creator>
  <cp:keywords/>
  <dc:description/>
  <cp:lastModifiedBy>TTLXUAN</cp:lastModifiedBy>
  <cp:revision>4</cp:revision>
  <dcterms:created xsi:type="dcterms:W3CDTF">2025-04-22T10:11:00Z</dcterms:created>
  <dcterms:modified xsi:type="dcterms:W3CDTF">2025-04-23T01:47:00Z</dcterms:modified>
</cp:coreProperties>
</file>